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0120" w14:textId="3AC6ABF6" w:rsidR="00955E1B" w:rsidRPr="00C86508" w:rsidRDefault="003B7752" w:rsidP="00C86508">
      <w:pPr>
        <w:pStyle w:val="Heading1"/>
      </w:pPr>
      <w:r w:rsidRPr="00C86508">
        <w:t>ECBG</w:t>
      </w:r>
      <w:r w:rsidR="00955E1B" w:rsidRPr="00C86508">
        <w:t xml:space="preserve"> Logic Model Template</w:t>
      </w:r>
    </w:p>
    <w:p w14:paraId="1D325108" w14:textId="09B179F4" w:rsidR="00C86508" w:rsidRPr="00C86508" w:rsidRDefault="00074BCE" w:rsidP="00C86508">
      <w:pPr>
        <w:pStyle w:val="Heading2"/>
      </w:pPr>
      <w:r w:rsidRPr="00C86508">
        <w:t>Applicant Name:</w:t>
      </w:r>
    </w:p>
    <w:p w14:paraId="6DEAD7A0" w14:textId="625CDE18" w:rsidR="000814C7" w:rsidRPr="001C443D" w:rsidRDefault="00074BCE" w:rsidP="001C443D">
      <w:pPr>
        <w:pStyle w:val="Heading3"/>
      </w:pPr>
      <w:r w:rsidRPr="00C86508">
        <w:t>ECBG Outcome 1.1:</w:t>
      </w:r>
      <w:r w:rsidR="00C86508" w:rsidRPr="00C86508">
        <w:t xml:space="preserve"> </w:t>
      </w:r>
      <w:r w:rsidRPr="00C86508">
        <w:t>Healthy Development</w:t>
      </w:r>
      <w:r w:rsidR="001C443D">
        <w:t xml:space="preserve">: </w:t>
      </w:r>
      <w:r w:rsidRPr="001C443D">
        <w:t>Early Identification: percentage of children who are screened for developmentally-appropriate communication skills, general cognitive skills, and social and emotional skills and referred for additional services as needed.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023DB4" w:rsidRPr="000814C7" w14:paraId="3922E1F2" w14:textId="7777777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0E70120" w14:textId="77777777" w:rsidR="00023DB4" w:rsidRPr="00023DB4" w:rsidRDefault="00023DB4" w:rsidP="00023DB4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023DB4" w:rsidRPr="000814C7" w14:paraId="418CDE39" w14:textId="77777777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42D909" w14:textId="77777777" w:rsidR="00023DB4" w:rsidRPr="000814C7" w:rsidRDefault="00023DB4" w:rsidP="00023DB4">
            <w:r w:rsidRPr="000814C7">
              <w:t>Based on the above outcome, what broad strategy will you use as a way to achieve your impact:</w:t>
            </w:r>
          </w:p>
        </w:tc>
      </w:tr>
    </w:tbl>
    <w:p w14:paraId="58E0B119" w14:textId="7FD33DB7" w:rsidR="00C86508" w:rsidRPr="00023DB4" w:rsidRDefault="00C86508" w:rsidP="00023DB4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023DB4" w:rsidRPr="000814C7" w14:paraId="4C91180F" w14:textId="3D19266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23B6B52" w14:textId="1289FDD2" w:rsidR="00023DB4" w:rsidRPr="00023DB4" w:rsidRDefault="00023DB4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8E305BB" w14:textId="3A5962EF" w:rsidR="00023DB4" w:rsidRDefault="00023DB4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023DB4" w:rsidRPr="000814C7" w14:paraId="53DC3F4F" w14:textId="6ADDECE0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554DE2C" w14:textId="1605F0ED" w:rsidR="00023DB4" w:rsidRPr="000814C7" w:rsidRDefault="00023DB4" w:rsidP="00023DB4"/>
        </w:tc>
        <w:tc>
          <w:tcPr>
            <w:tcW w:w="6480" w:type="dxa"/>
          </w:tcPr>
          <w:p w14:paraId="5ED52B7C" w14:textId="73F06F90" w:rsidR="00023DB4" w:rsidRPr="000814C7" w:rsidRDefault="00023DB4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</w:t>
            </w:r>
            <w:r w:rsidR="001C443D">
              <w:t>i</w:t>
            </w:r>
            <w:r>
              <w:t>es to be served.</w:t>
            </w:r>
          </w:p>
        </w:tc>
      </w:tr>
    </w:tbl>
    <w:p w14:paraId="65F380DA" w14:textId="77777777" w:rsidR="00023DB4" w:rsidRDefault="00023DB4" w:rsidP="00023DB4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63F4D68B" w14:textId="1268A6F9" w:rsidTr="001C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E983756" w14:textId="062F05F6" w:rsidR="001C443D" w:rsidRPr="00023DB4" w:rsidRDefault="001C443D" w:rsidP="008B18A7">
            <w:pPr>
              <w:spacing w:before="60" w:after="60" w:line="240" w:lineRule="auto"/>
            </w:pPr>
            <w:r>
              <w:t xml:space="preserve">Program </w:t>
            </w:r>
            <w:r>
              <w:t>Activities</w:t>
            </w:r>
          </w:p>
        </w:tc>
        <w:tc>
          <w:tcPr>
            <w:tcW w:w="2591" w:type="dxa"/>
          </w:tcPr>
          <w:p w14:paraId="408FB3E3" w14:textId="77A8B399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944A851" w14:textId="0254C6E2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1A8088F7" w14:textId="1B840750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3DA4951" w14:textId="5B8C5831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AAAEE2E" w14:textId="4A288619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2D76C7C" w14:textId="0E396563" w:rsidR="001C443D" w:rsidRPr="001C443D" w:rsidRDefault="001C443D" w:rsidP="001C443D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D69B0A7" w14:textId="0D6FD6AA" w:rsidR="001C443D" w:rsidRP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D672D1E" w14:textId="1A1F4501" w:rsidR="001C443D" w:rsidRDefault="001C443D" w:rsidP="001C443D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EB14C9C" w14:textId="15435106" w:rsid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FAD5C21" w14:textId="36BC2EBA" w:rsidR="001C443D" w:rsidRDefault="001C443D" w:rsidP="001C443D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</w:t>
            </w:r>
            <w:r>
              <w:t>.</w:t>
            </w:r>
          </w:p>
        </w:tc>
      </w:tr>
    </w:tbl>
    <w:p w14:paraId="026943A6" w14:textId="762F6C45" w:rsidR="00F86374" w:rsidRDefault="00F86374">
      <w:r>
        <w:br w:type="page"/>
      </w:r>
    </w:p>
    <w:p w14:paraId="4948C8D9" w14:textId="16E0577B" w:rsidR="001C443D" w:rsidRPr="001C443D" w:rsidRDefault="001C443D" w:rsidP="001C443D">
      <w:pPr>
        <w:pStyle w:val="Heading3"/>
      </w:pPr>
      <w:r w:rsidRPr="001C443D">
        <w:lastRenderedPageBreak/>
        <w:t>ECBG Outcome 1.2: Healthy Development: Social-emotional development: percentage of children who demonstrate improvement in positive self-regulation and compliance behavior</w:t>
      </w:r>
      <w:r>
        <w:t>s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34DE6099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84E09E6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127F35AE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22C8F38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353B21F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1A07D93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893AF3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14B5B5B0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54B93EA6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A24AFE7" w14:textId="77777777" w:rsidR="001C443D" w:rsidRPr="000814C7" w:rsidRDefault="001C443D" w:rsidP="008B18A7"/>
        </w:tc>
        <w:tc>
          <w:tcPr>
            <w:tcW w:w="6480" w:type="dxa"/>
          </w:tcPr>
          <w:p w14:paraId="2C7D0F1B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1A536DA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A4048B5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A362D2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6EF07C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A0C8B2E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2E443E27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B111ADD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A1CF0A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7F3218F9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3FF504C3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5C493DE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1697C1F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6CB8E3F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234A55B3" w14:textId="77777777" w:rsidR="001C443D" w:rsidRDefault="001C443D" w:rsidP="001C443D">
      <w:r>
        <w:br w:type="page"/>
      </w:r>
    </w:p>
    <w:p w14:paraId="4C41B9CE" w14:textId="4118D641" w:rsidR="001C443D" w:rsidRPr="001C443D" w:rsidRDefault="001C443D" w:rsidP="001C443D">
      <w:pPr>
        <w:pStyle w:val="Heading3"/>
      </w:pPr>
      <w:r w:rsidRPr="001C443D">
        <w:lastRenderedPageBreak/>
        <w:t>ECBG Outcome 2.1: Strong Families: Safe, stable and nurturing relationships (SSNRs): percentage of children whose family or primary caregivers demonstrate support of their learning and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647C2C8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1081F40C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4453A937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C50B6A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588F764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4A57A10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2BA413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E649B46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44D8B5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B48830B" w14:textId="77777777" w:rsidR="001C443D" w:rsidRPr="000814C7" w:rsidRDefault="001C443D" w:rsidP="008B18A7"/>
        </w:tc>
        <w:tc>
          <w:tcPr>
            <w:tcW w:w="6480" w:type="dxa"/>
          </w:tcPr>
          <w:p w14:paraId="47D7FE8F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DE67452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7508DA83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3D095C16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1E79DB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4B35936F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6165F119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EDF3BE1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A71072C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B3C122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E0524C5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660774E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DCDA7BB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A873D9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5D2D1DCA" w14:textId="77777777" w:rsidR="001C443D" w:rsidRDefault="001C443D" w:rsidP="001C443D">
      <w:r>
        <w:br w:type="page"/>
      </w:r>
    </w:p>
    <w:p w14:paraId="46CC5697" w14:textId="4516D5B9" w:rsidR="001C443D" w:rsidRPr="001C443D" w:rsidRDefault="001C443D" w:rsidP="001C443D">
      <w:pPr>
        <w:pStyle w:val="Heading3"/>
      </w:pPr>
      <w:r w:rsidRPr="001C443D">
        <w:lastRenderedPageBreak/>
        <w:t>ECBG Outcome 2.2: Strong Families: Safe, stable and nurturing relationships (SSNRs): percentage of family or primary caregivers who indicate a positive level of family functioning, concrete support, social support, and nurturing and attachment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55D544B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822B061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63C5209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1B910C4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1C7F5423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2E4897B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BCB870C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2A08CA60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2BB32A52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1F2502E" w14:textId="77777777" w:rsidR="001C443D" w:rsidRPr="000814C7" w:rsidRDefault="001C443D" w:rsidP="008B18A7"/>
        </w:tc>
        <w:tc>
          <w:tcPr>
            <w:tcW w:w="6480" w:type="dxa"/>
          </w:tcPr>
          <w:p w14:paraId="37FACDBA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36B45C9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171A831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560FA20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46869C1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ADD991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C808251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91433F7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5A1F9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22F239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2AB366C0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F7998E9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6EBEF39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445299D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687A9621" w14:textId="77777777" w:rsidR="001C443D" w:rsidRDefault="001C443D" w:rsidP="001C443D">
      <w:r>
        <w:br w:type="page"/>
      </w:r>
    </w:p>
    <w:p w14:paraId="0710FF49" w14:textId="299C92A9" w:rsidR="001C443D" w:rsidRPr="001C443D" w:rsidRDefault="001C443D" w:rsidP="001C443D">
      <w:pPr>
        <w:pStyle w:val="Heading3"/>
      </w:pPr>
      <w:r w:rsidRPr="001C443D">
        <w:lastRenderedPageBreak/>
        <w:t>ECBG Outcome 3.1: Early Learning: Early Literacy: percentage of children (0-5) who demonstrate ongoing competence in communication and literacy as appropriate for their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4D4BE52E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321E3E61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7520CF42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3A3FCA9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06BC1E87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5E5CBD42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9EBC4C8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64E91F2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0447DC8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26D57F9E" w14:textId="77777777" w:rsidR="001C443D" w:rsidRPr="000814C7" w:rsidRDefault="001C443D" w:rsidP="008B18A7"/>
        </w:tc>
        <w:tc>
          <w:tcPr>
            <w:tcW w:w="6480" w:type="dxa"/>
          </w:tcPr>
          <w:p w14:paraId="678DA6CA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E9A38CD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474CE1F5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D81CD7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7B42287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9D55C7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52F0B119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6C6E505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2732AB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B8558A1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75A61684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FBAB3DF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8935DD6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8839CE8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46CFA16A" w14:textId="77777777" w:rsidR="001C443D" w:rsidRDefault="001C443D" w:rsidP="001C443D">
      <w:r>
        <w:br w:type="page"/>
      </w:r>
    </w:p>
    <w:p w14:paraId="5F190A8E" w14:textId="0DA5AFDE" w:rsidR="001C443D" w:rsidRPr="001C443D" w:rsidRDefault="001C443D" w:rsidP="001C443D">
      <w:pPr>
        <w:pStyle w:val="Heading3"/>
      </w:pPr>
      <w:bookmarkStart w:id="0" w:name="_Hlk22284866"/>
      <w:r w:rsidRPr="001C443D">
        <w:lastRenderedPageBreak/>
        <w:t>ECBG Outcome 3.2: Early Learning: Early Literacy: percentage of children (3-5) who demonstrate ongoing competence in numeracy skills as appropriate for their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28C98C5A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5EB6E059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20542300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71A2040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56CF721E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5E5F94BD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6F59CECC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635F6982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38A6E1E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3DA01D0" w14:textId="77777777" w:rsidR="001C443D" w:rsidRPr="000814C7" w:rsidRDefault="001C443D" w:rsidP="008B18A7"/>
        </w:tc>
        <w:tc>
          <w:tcPr>
            <w:tcW w:w="6480" w:type="dxa"/>
          </w:tcPr>
          <w:p w14:paraId="2D84324D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30AF4CF1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572A44F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50277D6F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603FAE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1BCE86D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372D712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55A6039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26ACE9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0BA5BFC2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70BA3623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2BBD38D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6AAFA55B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F678BCB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0685AEEA" w14:textId="77777777" w:rsidR="001C443D" w:rsidRDefault="001C443D" w:rsidP="001C443D">
      <w:r>
        <w:br w:type="page"/>
      </w:r>
    </w:p>
    <w:bookmarkEnd w:id="0"/>
    <w:p w14:paraId="1C093C61" w14:textId="71ADFFAB" w:rsidR="001C443D" w:rsidRPr="001C443D" w:rsidRDefault="001C443D" w:rsidP="001C443D">
      <w:pPr>
        <w:pStyle w:val="Heading3"/>
      </w:pPr>
      <w:r w:rsidRPr="001C443D">
        <w:lastRenderedPageBreak/>
        <w:t>ECBG Outcome 3.3: Early Learning: Quality Learning Environments: percentage of high-quality early care and learning environments predictive of p</w:t>
      </w:r>
      <w:r w:rsidR="00854547">
        <w:softHyphen/>
      </w:r>
      <w:r w:rsidR="00854547">
        <w:softHyphen/>
      </w:r>
      <w:r w:rsidR="00854547">
        <w:softHyphen/>
      </w:r>
      <w:r w:rsidR="00854547">
        <w:softHyphen/>
      </w:r>
      <w:r w:rsidRPr="001C443D">
        <w:t>ositive change in academic outcomes.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16B67F4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95E036F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362348E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23D5643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02AFBDA1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3AC7D7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2B0A6D75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4A15DC2D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7A8D1E49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4B5542C0" w14:textId="77777777" w:rsidR="001C443D" w:rsidRPr="000814C7" w:rsidRDefault="001C443D" w:rsidP="008B18A7"/>
        </w:tc>
        <w:tc>
          <w:tcPr>
            <w:tcW w:w="6480" w:type="dxa"/>
          </w:tcPr>
          <w:p w14:paraId="20EE8C67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2CFD2AE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CBDCA9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9D20FF0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ABA42E8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6A57427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465ED03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4254D9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0E0F97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0812FBAC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B4DBB04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00C77DF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095F83AD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04B3946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61CF0533" w14:textId="4B475C4A" w:rsidR="001C443D" w:rsidRDefault="001C443D" w:rsidP="001C443D"/>
    <w:sectPr w:rsidR="001C443D" w:rsidSect="00C8650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0333" w14:textId="77777777" w:rsidR="00074BCE" w:rsidRDefault="00074BCE" w:rsidP="00074BCE">
      <w:pPr>
        <w:spacing w:after="0" w:line="240" w:lineRule="auto"/>
      </w:pPr>
      <w:r>
        <w:separator/>
      </w:r>
    </w:p>
  </w:endnote>
  <w:endnote w:type="continuationSeparator" w:id="0">
    <w:p w14:paraId="06217869" w14:textId="77777777" w:rsidR="00074BCE" w:rsidRDefault="00074BCE" w:rsidP="0007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DF6B" w14:textId="77777777" w:rsidR="00074BCE" w:rsidRDefault="00074BCE" w:rsidP="00074BCE">
      <w:pPr>
        <w:spacing w:after="0" w:line="240" w:lineRule="auto"/>
      </w:pPr>
      <w:r>
        <w:separator/>
      </w:r>
    </w:p>
  </w:footnote>
  <w:footnote w:type="continuationSeparator" w:id="0">
    <w:p w14:paraId="1D72C6D7" w14:textId="77777777" w:rsidR="00074BCE" w:rsidRDefault="00074BCE" w:rsidP="0007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EC2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30B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5E3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F4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02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A2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2F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6A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C7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1B"/>
    <w:rsid w:val="00023DB4"/>
    <w:rsid w:val="00074BCE"/>
    <w:rsid w:val="000814C7"/>
    <w:rsid w:val="000E186B"/>
    <w:rsid w:val="000E269F"/>
    <w:rsid w:val="001818DD"/>
    <w:rsid w:val="001C443D"/>
    <w:rsid w:val="0029203E"/>
    <w:rsid w:val="003B7752"/>
    <w:rsid w:val="003C2238"/>
    <w:rsid w:val="003C6594"/>
    <w:rsid w:val="003D4315"/>
    <w:rsid w:val="004C04B1"/>
    <w:rsid w:val="00546FA7"/>
    <w:rsid w:val="005D0F6A"/>
    <w:rsid w:val="006641EB"/>
    <w:rsid w:val="00696AB5"/>
    <w:rsid w:val="006F253B"/>
    <w:rsid w:val="00702539"/>
    <w:rsid w:val="007D022B"/>
    <w:rsid w:val="00854547"/>
    <w:rsid w:val="008833B2"/>
    <w:rsid w:val="00955E1B"/>
    <w:rsid w:val="009C717A"/>
    <w:rsid w:val="00B71F85"/>
    <w:rsid w:val="00BF6600"/>
    <w:rsid w:val="00C4347B"/>
    <w:rsid w:val="00C44412"/>
    <w:rsid w:val="00C61908"/>
    <w:rsid w:val="00C86508"/>
    <w:rsid w:val="00D96628"/>
    <w:rsid w:val="00E45418"/>
    <w:rsid w:val="00EB6B88"/>
    <w:rsid w:val="00ED2333"/>
    <w:rsid w:val="00F37474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774D"/>
  <w15:chartTrackingRefBased/>
  <w15:docId w15:val="{68D61FE7-4060-452D-A21A-E5F74AF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C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508"/>
    <w:pPr>
      <w:keepNext/>
      <w:keepLines/>
      <w:pBdr>
        <w:top w:val="single" w:sz="18" w:space="1" w:color="173C6E" w:themeColor="text1"/>
        <w:bottom w:val="single" w:sz="18" w:space="1" w:color="173C6E" w:themeColor="text1"/>
      </w:pBdr>
      <w:snapToGrid w:val="0"/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508"/>
    <w:pPr>
      <w:keepNext/>
      <w:keepLines/>
      <w:pBdr>
        <w:bottom w:val="single" w:sz="18" w:space="2" w:color="A8C241" w:themeColor="accent5"/>
      </w:pBdr>
      <w:snapToGrid w:val="0"/>
      <w:spacing w:before="120" w:after="120" w:line="240" w:lineRule="auto"/>
      <w:outlineLvl w:val="1"/>
    </w:pPr>
    <w:rPr>
      <w:rFonts w:eastAsiaTheme="majorEastAsia" w:cstheme="majorBidi"/>
      <w:b/>
      <w:bCs/>
      <w:color w:val="173C6E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547"/>
    <w:pPr>
      <w:keepNext/>
      <w:keepLines/>
      <w:pBdr>
        <w:top w:val="single" w:sz="4" w:space="1" w:color="A2DAE8" w:themeColor="accent6"/>
        <w:bottom w:val="single" w:sz="4" w:space="1" w:color="A2DAE8" w:themeColor="accent6"/>
      </w:pBdr>
      <w:shd w:val="clear" w:color="auto" w:fill="A2DAE8" w:themeFill="accent6"/>
      <w:snapToGrid w:val="0"/>
      <w:spacing w:before="180" w:line="240" w:lineRule="auto"/>
      <w:outlineLvl w:val="2"/>
    </w:pPr>
    <w:rPr>
      <w:rFonts w:asciiTheme="majorHAnsi" w:eastAsiaTheme="majorEastAsia" w:hAnsiTheme="majorHAnsi" w:cs="Times New Roman (Headings CS)"/>
      <w:b/>
      <w:i/>
      <w:iCs/>
      <w:color w:val="173C6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508"/>
    <w:pPr>
      <w:keepNext/>
      <w:keepLines/>
      <w:snapToGrid w:val="0"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B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B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173C6E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B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B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B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74BC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4B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E"/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6508"/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508"/>
    <w:rPr>
      <w:rFonts w:eastAsiaTheme="majorEastAsia" w:cstheme="majorBidi"/>
      <w:b/>
      <w:bCs/>
      <w:color w:val="173C6E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547"/>
    <w:rPr>
      <w:rFonts w:asciiTheme="majorHAnsi" w:eastAsiaTheme="majorEastAsia" w:hAnsiTheme="majorHAnsi" w:cs="Times New Roman (Headings CS)"/>
      <w:b/>
      <w:i/>
      <w:iCs/>
      <w:color w:val="173C6E" w:themeColor="text2"/>
      <w:sz w:val="24"/>
      <w:shd w:val="clear" w:color="auto" w:fill="A2DAE8" w:themeFill="accent6"/>
    </w:rPr>
  </w:style>
  <w:style w:type="character" w:customStyle="1" w:styleId="Heading4Char">
    <w:name w:val="Heading 4 Char"/>
    <w:basedOn w:val="DefaultParagraphFont"/>
    <w:link w:val="Heading4"/>
    <w:uiPriority w:val="9"/>
    <w:rsid w:val="00C86508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BC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BCE"/>
    <w:rPr>
      <w:rFonts w:asciiTheme="majorHAnsi" w:eastAsiaTheme="majorEastAsia" w:hAnsiTheme="majorHAnsi" w:cstheme="majorBidi"/>
      <w:iCs/>
      <w:color w:val="173C6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B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BCE"/>
    <w:pPr>
      <w:spacing w:line="240" w:lineRule="auto"/>
    </w:pPr>
    <w:rPr>
      <w:rFonts w:asciiTheme="majorHAnsi" w:eastAsiaTheme="minorEastAsia" w:hAnsiTheme="majorHAnsi"/>
      <w:bCs/>
      <w:smallCaps/>
      <w:color w:val="173C6E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BCE"/>
    <w:pPr>
      <w:numPr>
        <w:ilvl w:val="1"/>
      </w:numPr>
    </w:pPr>
    <w:rPr>
      <w:rFonts w:eastAsiaTheme="majorEastAsia" w:cstheme="majorBidi"/>
      <w:iCs/>
      <w:color w:val="173C6E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4BCE"/>
    <w:rPr>
      <w:rFonts w:eastAsiaTheme="majorEastAsia" w:cstheme="majorBidi"/>
      <w:iCs/>
      <w:color w:val="173C6E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74BCE"/>
    <w:rPr>
      <w:b w:val="0"/>
      <w:bCs/>
      <w:i/>
      <w:color w:val="173C6E" w:themeColor="text2"/>
    </w:rPr>
  </w:style>
  <w:style w:type="character" w:styleId="Emphasis">
    <w:name w:val="Emphasis"/>
    <w:basedOn w:val="DefaultParagraphFont"/>
    <w:uiPriority w:val="20"/>
    <w:qFormat/>
    <w:rsid w:val="00074BCE"/>
    <w:rPr>
      <w:b/>
      <w:i/>
      <w:iCs/>
    </w:rPr>
  </w:style>
  <w:style w:type="paragraph" w:styleId="NoSpacing">
    <w:name w:val="No Spacing"/>
    <w:link w:val="NoSpacingChar"/>
    <w:uiPriority w:val="1"/>
    <w:qFormat/>
    <w:rsid w:val="00074B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4BCE"/>
  </w:style>
  <w:style w:type="paragraph" w:styleId="ListParagraph">
    <w:name w:val="List Paragraph"/>
    <w:basedOn w:val="Normal"/>
    <w:uiPriority w:val="34"/>
    <w:qFormat/>
    <w:rsid w:val="00074BCE"/>
    <w:pPr>
      <w:spacing w:line="240" w:lineRule="auto"/>
      <w:ind w:left="720" w:hanging="288"/>
      <w:contextualSpacing/>
    </w:pPr>
    <w:rPr>
      <w:color w:val="173C6E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74BCE"/>
    <w:pPr>
      <w:spacing w:after="0" w:line="360" w:lineRule="auto"/>
      <w:jc w:val="center"/>
    </w:pPr>
    <w:rPr>
      <w:rFonts w:eastAsiaTheme="minorEastAsia"/>
      <w:b/>
      <w:i/>
      <w:iCs/>
      <w:color w:val="173C6E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74BCE"/>
    <w:rPr>
      <w:rFonts w:eastAsiaTheme="minorEastAsia"/>
      <w:b/>
      <w:i/>
      <w:iCs/>
      <w:color w:val="173C6E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BCE"/>
    <w:pPr>
      <w:pBdr>
        <w:top w:val="single" w:sz="36" w:space="8" w:color="173C6E" w:themeColor="accent1"/>
        <w:left w:val="single" w:sz="36" w:space="8" w:color="173C6E" w:themeColor="accent1"/>
        <w:bottom w:val="single" w:sz="36" w:space="8" w:color="173C6E" w:themeColor="accent1"/>
        <w:right w:val="single" w:sz="36" w:space="8" w:color="173C6E" w:themeColor="accent1"/>
      </w:pBdr>
      <w:shd w:val="clear" w:color="auto" w:fill="173C6E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B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173C6E" w:themeFill="accent1"/>
    </w:rPr>
  </w:style>
  <w:style w:type="character" w:styleId="SubtleEmphasis">
    <w:name w:val="Subtle Emphasis"/>
    <w:basedOn w:val="DefaultParagraphFont"/>
    <w:uiPriority w:val="19"/>
    <w:qFormat/>
    <w:rsid w:val="00074BC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74BCE"/>
    <w:rPr>
      <w:b/>
      <w:bCs/>
      <w:i/>
      <w:iCs/>
      <w:color w:val="173C6E" w:themeColor="accent1"/>
    </w:rPr>
  </w:style>
  <w:style w:type="character" w:styleId="SubtleReference">
    <w:name w:val="Subtle Reference"/>
    <w:basedOn w:val="DefaultParagraphFont"/>
    <w:uiPriority w:val="31"/>
    <w:qFormat/>
    <w:rsid w:val="00074BC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74BCE"/>
    <w:rPr>
      <w:b w:val="0"/>
      <w:bCs/>
      <w:smallCaps/>
      <w:color w:val="173C6E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4BCE"/>
    <w:rPr>
      <w:b/>
      <w:bCs/>
      <w:caps/>
      <w:smallCaps w:val="0"/>
      <w:color w:val="173C6E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BC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CE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CE"/>
    <w:rPr>
      <w:sz w:val="21"/>
    </w:rPr>
  </w:style>
  <w:style w:type="table" w:styleId="TableGrid">
    <w:name w:val="Table Grid"/>
    <w:basedOn w:val="TableNormal"/>
    <w:uiPriority w:val="39"/>
    <w:rsid w:val="00C8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86508"/>
    <w:pPr>
      <w:spacing w:after="0" w:line="240" w:lineRule="auto"/>
    </w:pPr>
    <w:tblPr>
      <w:tblStyleRowBandSize w:val="1"/>
      <w:tblStyleColBandSize w:val="1"/>
      <w:tblBorders>
        <w:top w:val="single" w:sz="4" w:space="0" w:color="4382D7" w:themeColor="accent1" w:themeTint="99"/>
        <w:left w:val="single" w:sz="4" w:space="0" w:color="4382D7" w:themeColor="accent1" w:themeTint="99"/>
        <w:bottom w:val="single" w:sz="4" w:space="0" w:color="4382D7" w:themeColor="accent1" w:themeTint="99"/>
        <w:right w:val="single" w:sz="4" w:space="0" w:color="4382D7" w:themeColor="accent1" w:themeTint="99"/>
        <w:insideH w:val="single" w:sz="4" w:space="0" w:color="4382D7" w:themeColor="accent1" w:themeTint="99"/>
        <w:insideV w:val="single" w:sz="4" w:space="0" w:color="4382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3C6E" w:themeColor="accent1"/>
          <w:left w:val="single" w:sz="4" w:space="0" w:color="173C6E" w:themeColor="accent1"/>
          <w:bottom w:val="single" w:sz="4" w:space="0" w:color="173C6E" w:themeColor="accent1"/>
          <w:right w:val="single" w:sz="4" w:space="0" w:color="173C6E" w:themeColor="accent1"/>
          <w:insideH w:val="nil"/>
          <w:insideV w:val="nil"/>
        </w:tcBorders>
        <w:shd w:val="clear" w:color="auto" w:fill="173C6E" w:themeFill="accent1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F2" w:themeFill="accent1" w:themeFillTint="33"/>
      </w:tcPr>
    </w:tblStylePr>
    <w:tblStylePr w:type="band1Horz">
      <w:tblPr/>
      <w:tcPr>
        <w:shd w:val="clear" w:color="auto" w:fill="C0D5F2" w:themeFill="accent1" w:themeFillTint="33"/>
      </w:tcPr>
    </w:tblStylePr>
  </w:style>
  <w:style w:type="table" w:styleId="GridTable1Light-Accent1">
    <w:name w:val="Grid Table 1 Light Accent 1"/>
    <w:aliases w:val="Custom Table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accent1" w:themeTint="66"/>
        <w:left w:val="single" w:sz="4" w:space="0" w:color="82ABE5" w:themeColor="accent1" w:themeTint="66"/>
        <w:bottom w:val="single" w:sz="4" w:space="0" w:color="82ABE5" w:themeColor="accent1" w:themeTint="66"/>
        <w:right w:val="single" w:sz="4" w:space="0" w:color="82ABE5" w:themeColor="accent1" w:themeTint="66"/>
        <w:insideH w:val="single" w:sz="4" w:space="0" w:color="82ABE5" w:themeColor="accent1" w:themeTint="66"/>
        <w:insideV w:val="single" w:sz="4" w:space="0" w:color="82ABE5" w:themeColor="accent1" w:themeTint="66"/>
      </w:tblBorders>
    </w:tblPr>
    <w:tblStylePr w:type="firstRow">
      <w:pPr>
        <w:jc w:val="left"/>
      </w:pPr>
      <w:rPr>
        <w:rFonts w:asciiTheme="majorHAnsi" w:hAnsiTheme="majorHAnsi"/>
        <w:b/>
        <w:bCs/>
        <w:i/>
        <w:sz w:val="22"/>
      </w:rPr>
      <w:tblPr/>
      <w:tcPr>
        <w:tcBorders>
          <w:bottom w:val="single" w:sz="12" w:space="0" w:color="4382D7" w:themeColor="accen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text1" w:themeTint="66"/>
        <w:left w:val="single" w:sz="4" w:space="0" w:color="82ABE5" w:themeColor="text1" w:themeTint="66"/>
        <w:bottom w:val="single" w:sz="4" w:space="0" w:color="82ABE5" w:themeColor="text1" w:themeTint="66"/>
        <w:right w:val="single" w:sz="4" w:space="0" w:color="82ABE5" w:themeColor="text1" w:themeTint="66"/>
        <w:insideH w:val="single" w:sz="4" w:space="0" w:color="82ABE5" w:themeColor="text1" w:themeTint="66"/>
        <w:insideV w:val="single" w:sz="4" w:space="0" w:color="82ABE5" w:themeColor="text1" w:themeTint="66"/>
      </w:tblBorders>
    </w:tblPr>
    <w:tblStylePr w:type="firstRow">
      <w:pPr>
        <w:jc w:val="left"/>
      </w:pPr>
      <w:rPr>
        <w:rFonts w:asciiTheme="minorHAnsi" w:hAnsiTheme="minorHAnsi"/>
        <w:b/>
        <w:bCs/>
        <w:i/>
        <w:sz w:val="22"/>
      </w:rPr>
      <w:tblPr/>
      <w:tcPr>
        <w:tcBorders>
          <w:bottom w:val="single" w:sz="12" w:space="0" w:color="4382D7" w:themeColor="tex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-Table">
    <w:name w:val="Custom-Table"/>
    <w:basedOn w:val="TableNormal"/>
    <w:uiPriority w:val="99"/>
    <w:rsid w:val="000814C7"/>
    <w:pPr>
      <w:spacing w:after="0" w:line="240" w:lineRule="auto"/>
    </w:pPr>
    <w:tblPr/>
    <w:tblStylePr w:type="firstRow">
      <w:pPr>
        <w:jc w:val="left"/>
      </w:pPr>
      <w:rPr>
        <w:b/>
        <w:i/>
        <w:sz w:val="22"/>
      </w:rPr>
      <w:tblPr/>
      <w:tcPr>
        <w:vAlign w:val="center"/>
      </w:tcPr>
    </w:tblStylePr>
  </w:style>
  <w:style w:type="table" w:styleId="ListTable3-Accent1">
    <w:name w:val="List Table 3 Accent 1"/>
    <w:basedOn w:val="TableNormal"/>
    <w:uiPriority w:val="48"/>
    <w:rsid w:val="00023DB4"/>
    <w:pPr>
      <w:snapToGrid w:val="0"/>
      <w:spacing w:before="20" w:after="20" w:line="240" w:lineRule="auto"/>
    </w:pPr>
    <w:tblPr>
      <w:tblStyleRowBandSize w:val="1"/>
      <w:tblStyleColBandSize w:val="1"/>
      <w:tblBorders>
        <w:top w:val="single" w:sz="4" w:space="0" w:color="173C6E" w:themeColor="accent1"/>
        <w:left w:val="single" w:sz="4" w:space="0" w:color="173C6E" w:themeColor="accent1"/>
        <w:bottom w:val="single" w:sz="4" w:space="0" w:color="173C6E" w:themeColor="accent1"/>
        <w:right w:val="single" w:sz="4" w:space="0" w:color="173C6E" w:themeColor="accent1"/>
      </w:tblBorders>
    </w:tblPr>
    <w:tblStylePr w:type="firstRow">
      <w:pPr>
        <w:wordWrap/>
        <w:snapToGrid w:val="0"/>
        <w:spacing w:beforeLines="0" w:before="20" w:beforeAutospacing="0" w:afterLines="0" w:after="20" w:afterAutospacing="0" w:line="240" w:lineRule="auto"/>
        <w:contextualSpacing w:val="0"/>
        <w:jc w:val="left"/>
      </w:pPr>
      <w:rPr>
        <w:b/>
        <w:bCs/>
        <w:i/>
        <w:color w:val="FFFFFF" w:themeColor="background1"/>
      </w:rPr>
      <w:tblPr/>
      <w:tcPr>
        <w:shd w:val="clear" w:color="auto" w:fill="173C6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3C6E" w:themeColor="accent1"/>
          <w:right w:val="single" w:sz="4" w:space="0" w:color="173C6E" w:themeColor="accent1"/>
        </w:tcBorders>
      </w:tcPr>
    </w:tblStylePr>
    <w:tblStylePr w:type="band1Horz">
      <w:tblPr/>
      <w:tcPr>
        <w:tcBorders>
          <w:top w:val="single" w:sz="4" w:space="0" w:color="173C6E" w:themeColor="accent1"/>
          <w:bottom w:val="single" w:sz="4" w:space="0" w:color="173C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3C6E" w:themeColor="accent1"/>
          <w:left w:val="nil"/>
        </w:tcBorders>
      </w:tcPr>
    </w:tblStylePr>
    <w:tblStylePr w:type="swCell">
      <w:tblPr/>
      <w:tcPr>
        <w:tcBorders>
          <w:top w:val="double" w:sz="4" w:space="0" w:color="173C6E" w:themeColor="accent1"/>
          <w:right w:val="nil"/>
        </w:tcBorders>
      </w:tcPr>
    </w:tblStylePr>
  </w:style>
  <w:style w:type="paragraph" w:customStyle="1" w:styleId="Between">
    <w:name w:val="Between"/>
    <w:basedOn w:val="Normal"/>
    <w:qFormat/>
    <w:rsid w:val="00023DB4"/>
    <w:pPr>
      <w:snapToGrid w:val="0"/>
      <w:spacing w:after="0" w:line="240" w:lineRule="auto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CBG-Budget">
  <a:themeElements>
    <a:clrScheme name="1-800 Children">
      <a:dk1>
        <a:srgbClr val="173C6E"/>
      </a:dk1>
      <a:lt1>
        <a:srgbClr val="FFFFFF"/>
      </a:lt1>
      <a:dk2>
        <a:srgbClr val="173C6E"/>
      </a:dk2>
      <a:lt2>
        <a:srgbClr val="A2DAE8"/>
      </a:lt2>
      <a:accent1>
        <a:srgbClr val="173C6E"/>
      </a:accent1>
      <a:accent2>
        <a:srgbClr val="2CC0C7"/>
      </a:accent2>
      <a:accent3>
        <a:srgbClr val="F7A71C"/>
      </a:accent3>
      <a:accent4>
        <a:srgbClr val="FA6338"/>
      </a:accent4>
      <a:accent5>
        <a:srgbClr val="A8C241"/>
      </a:accent5>
      <a:accent6>
        <a:srgbClr val="A2DAE8"/>
      </a:accent6>
      <a:hlink>
        <a:srgbClr val="F7A71C"/>
      </a:hlink>
      <a:folHlink>
        <a:srgbClr val="A8C2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0BD1357E4A479EB5148EDDFE09BF" ma:contentTypeVersion="12" ma:contentTypeDescription="Create a new document." ma:contentTypeScope="" ma:versionID="5b7244b7c7d883f673b7796edab2d54c">
  <xsd:schema xmlns:xsd="http://www.w3.org/2001/XMLSchema" xmlns:xs="http://www.w3.org/2001/XMLSchema" xmlns:p="http://schemas.microsoft.com/office/2006/metadata/properties" xmlns:ns2="e6242412-1992-43a9-8953-792b4df7b586" xmlns:ns3="27b10c13-73e3-447d-933c-8a99a2fbcdb7" targetNamespace="http://schemas.microsoft.com/office/2006/metadata/properties" ma:root="true" ma:fieldsID="4f0030b25ffc226998506d31f45b608c" ns2:_="" ns3:_="">
    <xsd:import namespace="e6242412-1992-43a9-8953-792b4df7b586"/>
    <xsd:import namespace="27b10c13-73e3-447d-933c-8a99a2fb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2412-1992-43a9-8953-792b4df7b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c13-73e3-447d-933c-8a99a2fb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6416E-73DD-412E-BC4C-5E3067E1D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8D53E-734B-41F6-9B2C-BFB91A5CDA80}"/>
</file>

<file path=customXml/itemProps3.xml><?xml version="1.0" encoding="utf-8"?>
<ds:datastoreItem xmlns:ds="http://schemas.openxmlformats.org/officeDocument/2006/customXml" ds:itemID="{96C50DD7-5862-4570-B0C9-1A12B35CD8B5}">
  <ds:schemaRefs>
    <ds:schemaRef ds:uri="http://www.w3.org/XML/1998/namespace"/>
    <ds:schemaRef ds:uri="http://schemas.openxmlformats.org/package/2006/metadata/core-properties"/>
    <ds:schemaRef ds:uri="4e72a2ed-0f98-45ec-a355-a1a37678a8a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995</Words>
  <Characters>5966</Characters>
  <Application>Microsoft Office Word</Application>
  <DocSecurity>0</DocSecurity>
  <Lines>284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ECBG FY22 Logic Model</vt:lpstr>
    </vt:vector>
  </TitlesOfParts>
  <Manager/>
  <Company/>
  <LinksUpToDate>false</LinksUpToDate>
  <CharactersWithSpaces>6813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ECBG FY22 Logic Model</dc:title>
  <dc:subject/>
  <dc:creator/>
  <cp:keywords/>
  <dc:description/>
  <cp:lastModifiedBy>Combs, Cara Beth</cp:lastModifiedBy>
  <cp:revision>15</cp:revision>
  <dcterms:created xsi:type="dcterms:W3CDTF">2020-12-09T19:16:00Z</dcterms:created>
  <dcterms:modified xsi:type="dcterms:W3CDTF">2020-12-18T20:40:00Z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0x0101008C7E0BD1357E4A479EB5148EDDFE09BF</vt:lpwstr>
  </property>
</Properties>
</file>